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297"/>
        <w:tblOverlap w:val="never"/>
        <w:tblW w:w="8352" w:type="dxa"/>
        <w:tblBorders>
          <w:bottom w:val="single" w:sz="12" w:space="0" w:color="7B6D54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912"/>
      </w:tblGrid>
      <w:tr w:rsidR="00FD32F2" w:rsidTr="002D5AED">
        <w:trPr>
          <w:cantSplit/>
          <w:trHeight w:val="90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bookmarkStart w:id="0" w:name="_GoBack"/>
            <w:bookmarkEnd w:id="0"/>
            <w:r w:rsidRPr="00EC71DF">
              <w:t>To: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Team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From: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proofErr w:type="spellStart"/>
            <w:r w:rsidRPr="00FD32F2">
              <w:t>Cuningham</w:t>
            </w:r>
            <w:proofErr w:type="spellEnd"/>
            <w:r w:rsidRPr="00FD32F2">
              <w:t xml:space="preserve"> Group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Project: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Logan Park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Project Number: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</w:pPr>
            <w:r w:rsidRPr="00FD32F2">
              <w:t>Logan Park Small Area Plan</w:t>
            </w:r>
          </w:p>
        </w:tc>
      </w:tr>
      <w:tr w:rsidR="00FD32F2" w:rsidTr="002D5AED">
        <w:trPr>
          <w:cantSplit/>
          <w:trHeight w:val="7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Subject:</w:t>
            </w:r>
          </w:p>
        </w:tc>
        <w:tc>
          <w:tcPr>
            <w:tcW w:w="6912" w:type="dxa"/>
            <w:noWrap/>
          </w:tcPr>
          <w:p w:rsidR="00FD32F2" w:rsidRPr="00FD32F2" w:rsidRDefault="00FD32F2" w:rsidP="008874E0">
            <w:pPr>
              <w:pStyle w:val="CGAFieldData"/>
            </w:pPr>
            <w:r w:rsidRPr="00FD32F2">
              <w:t xml:space="preserve">Meeting Notes: </w:t>
            </w:r>
            <w:r w:rsidR="008874E0">
              <w:t>Commercial Property Owners</w:t>
            </w:r>
          </w:p>
        </w:tc>
      </w:tr>
      <w:tr w:rsidR="00FD32F2" w:rsidTr="002D5AED">
        <w:trPr>
          <w:cantSplit/>
          <w:trHeight w:val="104"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Date:</w:t>
            </w:r>
          </w:p>
        </w:tc>
        <w:tc>
          <w:tcPr>
            <w:tcW w:w="6912" w:type="dxa"/>
            <w:noWrap/>
          </w:tcPr>
          <w:p w:rsidR="00FD32F2" w:rsidRPr="00FD32F2" w:rsidRDefault="00FD32F2" w:rsidP="002D5AED">
            <w:pPr>
              <w:pStyle w:val="CGAFieldData"/>
              <w:rPr>
                <w:rFonts w:cs="Arial"/>
              </w:rPr>
            </w:pPr>
            <w:r w:rsidRPr="00FD32F2">
              <w:rPr>
                <w:rFonts w:cs="Arial"/>
              </w:rPr>
              <w:t>December 18, 2015</w:t>
            </w:r>
          </w:p>
        </w:tc>
      </w:tr>
      <w:tr w:rsidR="00FD32F2" w:rsidTr="002D5AED">
        <w:trPr>
          <w:cantSplit/>
        </w:trPr>
        <w:tc>
          <w:tcPr>
            <w:tcW w:w="1440" w:type="dxa"/>
            <w:noWrap/>
          </w:tcPr>
          <w:p w:rsidR="00FD32F2" w:rsidRPr="00EC71DF" w:rsidRDefault="00FD32F2" w:rsidP="002D5AED">
            <w:pPr>
              <w:pStyle w:val="CGAFieldTitle"/>
            </w:pPr>
            <w:r w:rsidRPr="00EC71DF">
              <w:t>Copy To:</w:t>
            </w:r>
          </w:p>
        </w:tc>
        <w:tc>
          <w:tcPr>
            <w:tcW w:w="6912" w:type="dxa"/>
          </w:tcPr>
          <w:p w:rsidR="00FD32F2" w:rsidRDefault="00FD32F2" w:rsidP="002D5AED">
            <w:pPr>
              <w:pStyle w:val="CGAFieldData"/>
            </w:pPr>
          </w:p>
          <w:p w:rsidR="00FD32F2" w:rsidRDefault="00FD32F2" w:rsidP="002D5AED">
            <w:pPr>
              <w:pStyle w:val="CGAFieldData"/>
            </w:pPr>
            <w:r>
              <w:t xml:space="preserve"> </w:t>
            </w:r>
          </w:p>
        </w:tc>
      </w:tr>
    </w:tbl>
    <w:p w:rsidR="00FE0E05" w:rsidRDefault="00FE0E05"/>
    <w:p w:rsidR="005728AB" w:rsidRDefault="005728AB" w:rsidP="005728AB">
      <w:pPr>
        <w:ind w:right="-18"/>
      </w:pPr>
    </w:p>
    <w:p w:rsidR="00AD25F8" w:rsidRDefault="00AD25F8" w:rsidP="00AD25F8">
      <w:pPr>
        <w:pStyle w:val="ListParagraph"/>
        <w:numPr>
          <w:ilvl w:val="0"/>
          <w:numId w:val="2"/>
        </w:numPr>
      </w:pPr>
      <w:r>
        <w:t>Appeal of Northeast for investment/development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Diverse (Arts, innovative businesses)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Great local restaurants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Deep roots (local history, residents, culture)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Attracts people who want to work in an interesting place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Physical character (buildings, industrial spaces)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Proximity to Downtown (close, but still low-density)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Proximity to River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Park is an asset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Neighborhood feel and proximity; some tenants have moved to the neighborhood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 xml:space="preserve">Creative synergies: connections </w:t>
      </w:r>
      <w:proofErr w:type="spellStart"/>
      <w:r>
        <w:t>btwn</w:t>
      </w:r>
      <w:proofErr w:type="spellEnd"/>
      <w:r>
        <w:t xml:space="preserve"> arts and business people</w:t>
      </w:r>
    </w:p>
    <w:p w:rsidR="00AD25F8" w:rsidRDefault="00AD25F8" w:rsidP="00AD25F8">
      <w:pPr>
        <w:pStyle w:val="ListParagraph"/>
        <w:numPr>
          <w:ilvl w:val="0"/>
          <w:numId w:val="2"/>
        </w:numPr>
      </w:pPr>
      <w:r>
        <w:t>Neighborhood change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60s/70s: “</w:t>
      </w:r>
      <w:proofErr w:type="spellStart"/>
      <w:r>
        <w:t>Nordeast</w:t>
      </w:r>
      <w:proofErr w:type="spellEnd"/>
      <w:r>
        <w:t>”; manicured lawns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80s: Decline, broken windows, graffiti, more rentals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Renaissance: Arts, redevelopment, NRP</w:t>
      </w:r>
    </w:p>
    <w:p w:rsidR="00AD25F8" w:rsidRDefault="00AD25F8" w:rsidP="00AD25F8">
      <w:pPr>
        <w:pStyle w:val="ListParagraph"/>
        <w:numPr>
          <w:ilvl w:val="0"/>
          <w:numId w:val="2"/>
        </w:numPr>
      </w:pPr>
      <w:r>
        <w:t xml:space="preserve">Issues/Concerns 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Flexibility of industrial living district overlay (initially looks flexible, but is in practice, less flexible because of conditional uses)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Need flexibility to bring developments to fruition efficiently (time on entitlements; cost to developers)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Zoning for breweries is too light (that is, does not require as much parking because regarded as food processing)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Desire for more retail services (like 13</w:t>
      </w:r>
      <w:r w:rsidRPr="00632743">
        <w:rPr>
          <w:vertAlign w:val="superscript"/>
        </w:rPr>
        <w:t>th</w:t>
      </w:r>
      <w:r>
        <w:t xml:space="preserve"> Ave); gathering spaces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Improve walkability/</w:t>
      </w:r>
      <w:proofErr w:type="spellStart"/>
      <w:r>
        <w:t>bikeability</w:t>
      </w:r>
      <w:proofErr w:type="spellEnd"/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Connect to river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Underground real estate market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Tight knit community; informal dealings; historically fearful of outsiders (renters)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Multi-modal transportation options; walkability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Connections to the river (bike path)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Build or improve cultural amenities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Affordability/sustainability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Pricing out of artists/creative makers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Preservation of arts buildings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Infrastructure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Sidewalks; missing links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Parking/roads – need to support business uses, but limit impact of assessments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proofErr w:type="spellStart"/>
      <w:r>
        <w:t>Stormwater</w:t>
      </w:r>
      <w:proofErr w:type="spellEnd"/>
      <w:r>
        <w:t>/flooding  issues</w:t>
      </w:r>
    </w:p>
    <w:p w:rsidR="00AD25F8" w:rsidRDefault="00AD25F8" w:rsidP="00AD25F8">
      <w:pPr>
        <w:pStyle w:val="ListParagraph"/>
        <w:numPr>
          <w:ilvl w:val="3"/>
          <w:numId w:val="2"/>
        </w:numPr>
      </w:pPr>
      <w:r>
        <w:lastRenderedPageBreak/>
        <w:t>In some places is being managed through individual private properties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City as obstacle to making needed site improvements (</w:t>
      </w:r>
      <w:proofErr w:type="spellStart"/>
      <w:r>
        <w:t>Electromatic</w:t>
      </w:r>
      <w:proofErr w:type="spellEnd"/>
      <w:r>
        <w:t>)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Parking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 xml:space="preserve">Requirements may push out businesses in the long run 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Loss of parking if Quincy is improved</w:t>
      </w:r>
    </w:p>
    <w:p w:rsidR="00AD25F8" w:rsidRDefault="00AD25F8" w:rsidP="00AD25F8">
      <w:pPr>
        <w:pStyle w:val="ListParagraph"/>
        <w:numPr>
          <w:ilvl w:val="2"/>
          <w:numId w:val="2"/>
        </w:numPr>
      </w:pPr>
      <w:r>
        <w:t>Parking overflow into residential areas</w:t>
      </w:r>
    </w:p>
    <w:p w:rsidR="00AD25F8" w:rsidRDefault="00AD25F8" w:rsidP="00AD25F8">
      <w:pPr>
        <w:pStyle w:val="ListParagraph"/>
        <w:numPr>
          <w:ilvl w:val="1"/>
          <w:numId w:val="2"/>
        </w:numPr>
      </w:pPr>
      <w:r>
        <w:t>More visible public art/sculpture- investment in public realm</w:t>
      </w:r>
    </w:p>
    <w:p w:rsidR="005728AB" w:rsidRDefault="005728AB" w:rsidP="005728AB">
      <w:pPr>
        <w:ind w:right="-18"/>
      </w:pPr>
    </w:p>
    <w:p w:rsidR="005728AB" w:rsidRDefault="005728AB" w:rsidP="005728AB">
      <w:pPr>
        <w:ind w:right="-18"/>
      </w:pPr>
    </w:p>
    <w:p w:rsidR="00FE0E05" w:rsidRDefault="00FE0E05"/>
    <w:p w:rsidR="00FE0E05" w:rsidRDefault="000350F0">
      <w:pPr>
        <w:pStyle w:val="CGAFieldTitle"/>
        <w:jc w:val="center"/>
        <w:rPr>
          <w:b/>
          <w:bCs/>
          <w:sz w:val="20"/>
        </w:rPr>
      </w:pPr>
      <w:r>
        <w:rPr>
          <w:b/>
          <w:bCs/>
          <w:sz w:val="20"/>
        </w:rPr>
        <w:t>END OF MEMO</w:t>
      </w:r>
    </w:p>
    <w:p w:rsidR="00FE0E05" w:rsidRDefault="00FE0E05">
      <w:pPr>
        <w:rPr>
          <w:bCs/>
          <w:highlight w:val="yellow"/>
        </w:rPr>
      </w:pPr>
    </w:p>
    <w:p w:rsidR="00FE0E05" w:rsidRDefault="000350F0">
      <w:r>
        <w:rPr>
          <w:bCs/>
          <w:highlight w:val="yellow"/>
        </w:rPr>
        <w:fldChar w:fldCharType="begin"/>
      </w:r>
      <w:r>
        <w:rPr>
          <w:bCs/>
          <w:highlight w:val="yellow"/>
        </w:rPr>
        <w:instrText xml:space="preserve"> MACROBUTTON </w:instrText>
      </w:r>
      <w:r>
        <w:rPr>
          <w:bCs/>
        </w:rPr>
        <w:instrText>none</w:instrText>
      </w:r>
      <w:r>
        <w:rPr>
          <w:bCs/>
          <w:highlight w:val="yellow"/>
        </w:rPr>
        <w:instrText xml:space="preserve"> [</w:instrText>
      </w:r>
      <w:r>
        <w:rPr>
          <w:rFonts w:ascii="Arial" w:hAnsi="Arial" w:cs="Arial"/>
          <w:b/>
          <w:sz w:val="16"/>
          <w:highlight w:val="yellow"/>
        </w:rPr>
        <w:instrText>Replace With Preparer's Initials</w:instrText>
      </w:r>
      <w:r>
        <w:rPr>
          <w:bCs/>
          <w:highlight w:val="yellow"/>
        </w:rPr>
        <w:instrText>]</w:instrText>
      </w:r>
      <w:r>
        <w:rPr>
          <w:bCs/>
          <w:highlight w:val="yellow"/>
        </w:rPr>
        <w:fldChar w:fldCharType="end"/>
      </w:r>
      <w:r>
        <w:t>/</w:t>
      </w:r>
      <w:r>
        <w:rPr>
          <w:bCs/>
          <w:highlight w:val="yellow"/>
        </w:rPr>
        <w:t xml:space="preserve"> </w:t>
      </w:r>
      <w:r>
        <w:rPr>
          <w:bCs/>
          <w:highlight w:val="yellow"/>
        </w:rPr>
        <w:fldChar w:fldCharType="begin"/>
      </w:r>
      <w:r>
        <w:rPr>
          <w:bCs/>
          <w:highlight w:val="yellow"/>
        </w:rPr>
        <w:instrText xml:space="preserve"> MACROBUTTON </w:instrText>
      </w:r>
      <w:r>
        <w:rPr>
          <w:bCs/>
        </w:rPr>
        <w:instrText>none</w:instrText>
      </w:r>
      <w:r>
        <w:rPr>
          <w:bCs/>
          <w:highlight w:val="yellow"/>
        </w:rPr>
        <w:instrText xml:space="preserve"> [</w:instrText>
      </w:r>
      <w:r>
        <w:rPr>
          <w:rFonts w:ascii="Arial" w:hAnsi="Arial" w:cs="Arial"/>
          <w:b/>
          <w:sz w:val="16"/>
          <w:highlight w:val="yellow"/>
        </w:rPr>
        <w:instrText>Replace With Typist's initials</w:instrText>
      </w:r>
      <w:r>
        <w:rPr>
          <w:bCs/>
          <w:highlight w:val="yellow"/>
        </w:rPr>
        <w:instrText>]</w:instrText>
      </w:r>
      <w:r>
        <w:rPr>
          <w:bCs/>
          <w:highlight w:val="yellow"/>
        </w:rPr>
        <w:fldChar w:fldCharType="end"/>
      </w:r>
    </w:p>
    <w:p w:rsidR="00FE0E05" w:rsidRDefault="00FE0E05">
      <w:pPr>
        <w:pStyle w:val="Header"/>
        <w:tabs>
          <w:tab w:val="clear" w:pos="4320"/>
          <w:tab w:val="clear" w:pos="8640"/>
        </w:tabs>
      </w:pPr>
    </w:p>
    <w:sectPr w:rsidR="00FE0E05" w:rsidSect="005728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088" w:right="2592" w:bottom="1080" w:left="1296" w:header="64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E9" w:rsidRDefault="00E720E9">
      <w:r>
        <w:separator/>
      </w:r>
    </w:p>
  </w:endnote>
  <w:endnote w:type="continuationSeparator" w:id="0">
    <w:p w:rsidR="00E720E9" w:rsidRDefault="00E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E720E9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7A6C36">
      <w:rPr>
        <w:noProof/>
      </w:rPr>
      <w:t>2</w:t>
    </w:r>
    <w:r w:rsidR="000350F0">
      <w:fldChar w:fldCharType="end"/>
    </w:r>
    <w:r w:rsidR="000350F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7A6C3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E720E9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7A6C36">
      <w:rPr>
        <w:noProof/>
      </w:rPr>
      <w:t>1</w:t>
    </w:r>
    <w:r w:rsidR="000350F0">
      <w:fldChar w:fldCharType="end"/>
    </w:r>
    <w:r w:rsidR="000350F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7A6C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E9" w:rsidRDefault="00E720E9">
      <w:r>
        <w:separator/>
      </w:r>
    </w:p>
  </w:footnote>
  <w:footnote w:type="continuationSeparator" w:id="0">
    <w:p w:rsidR="00E720E9" w:rsidRDefault="00E7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2B56FD84" wp14:editId="4348749D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468E5EE7" wp14:editId="5EDB90DE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DocTitle"/>
    </w:pP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102995" cy="960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F0"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9A3"/>
    <w:multiLevelType w:val="hybridMultilevel"/>
    <w:tmpl w:val="05F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230"/>
    <w:multiLevelType w:val="hybridMultilevel"/>
    <w:tmpl w:val="E2F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54CB"/>
    <w:multiLevelType w:val="hybridMultilevel"/>
    <w:tmpl w:val="918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"/>
  <w:drawingGridVerticalSpacing w:val="14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7b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350F0"/>
    <w:rsid w:val="000552A1"/>
    <w:rsid w:val="005728AB"/>
    <w:rsid w:val="007A6C36"/>
    <w:rsid w:val="008874E0"/>
    <w:rsid w:val="00AD25F8"/>
    <w:rsid w:val="00E720E9"/>
    <w:rsid w:val="00EC71DF"/>
    <w:rsid w:val="00FD32F2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6d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FD32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32F2"/>
    <w:rPr>
      <w:sz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FD32F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32F2"/>
    <w:rPr>
      <w:sz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Minneapolis-pg1.wmf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mem20151218</vt:lpstr>
    </vt:vector>
  </TitlesOfParts>
  <Company>Cuningham Group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mem20151218</dc:title>
  <dc:creator>Cuningham Group Architecture, Inc.</dc:creator>
  <cp:lastModifiedBy>Reed Viken, Reanne (Aveda)</cp:lastModifiedBy>
  <cp:revision>2</cp:revision>
  <cp:lastPrinted>2001-06-14T19:10:00Z</cp:lastPrinted>
  <dcterms:created xsi:type="dcterms:W3CDTF">2015-12-21T15:17:00Z</dcterms:created>
  <dcterms:modified xsi:type="dcterms:W3CDTF">2015-12-21T15:17:00Z</dcterms:modified>
</cp:coreProperties>
</file>