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297"/>
        <w:tblOverlap w:val="never"/>
        <w:tblW w:w="8352" w:type="dxa"/>
        <w:tblBorders>
          <w:bottom w:val="single" w:sz="12" w:space="0" w:color="7B6D54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6912"/>
      </w:tblGrid>
      <w:tr w:rsidR="00FD32F2" w:rsidTr="002D5AED">
        <w:trPr>
          <w:cantSplit/>
          <w:trHeight w:val="90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bookmarkStart w:id="0" w:name="_GoBack"/>
            <w:bookmarkEnd w:id="0"/>
            <w:r w:rsidRPr="00EC71DF">
              <w:t>To: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</w:pPr>
            <w:r w:rsidRPr="00FD32F2">
              <w:t>Team</w:t>
            </w:r>
          </w:p>
        </w:tc>
      </w:tr>
      <w:tr w:rsidR="00FD32F2" w:rsidTr="002D5AED">
        <w:trPr>
          <w:cantSplit/>
          <w:trHeight w:val="7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From: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</w:pPr>
            <w:r w:rsidRPr="00FD32F2">
              <w:t>Cuningham Group</w:t>
            </w:r>
          </w:p>
        </w:tc>
      </w:tr>
      <w:tr w:rsidR="00FD32F2" w:rsidTr="002D5AED">
        <w:trPr>
          <w:cantSplit/>
          <w:trHeight w:val="7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Project: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</w:pPr>
            <w:r w:rsidRPr="00FD32F2">
              <w:t>Logan Park</w:t>
            </w:r>
          </w:p>
        </w:tc>
      </w:tr>
      <w:tr w:rsidR="00FD32F2" w:rsidTr="002D5AED">
        <w:trPr>
          <w:cantSplit/>
          <w:trHeight w:val="7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Project Number: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</w:pPr>
            <w:r w:rsidRPr="00FD32F2">
              <w:t>Logan Park Small Area Plan</w:t>
            </w:r>
          </w:p>
        </w:tc>
      </w:tr>
      <w:tr w:rsidR="00FD32F2" w:rsidTr="002D5AED">
        <w:trPr>
          <w:cantSplit/>
          <w:trHeight w:val="7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Subject:</w:t>
            </w:r>
          </w:p>
        </w:tc>
        <w:tc>
          <w:tcPr>
            <w:tcW w:w="6912" w:type="dxa"/>
            <w:noWrap/>
          </w:tcPr>
          <w:p w:rsidR="00FD32F2" w:rsidRPr="00FD32F2" w:rsidRDefault="00FD32F2" w:rsidP="00FD32F2">
            <w:pPr>
              <w:pStyle w:val="CGAFieldData"/>
            </w:pPr>
            <w:r w:rsidRPr="00FD32F2">
              <w:t>Meeting Notes: Non Profit Service Provides</w:t>
            </w:r>
          </w:p>
        </w:tc>
      </w:tr>
      <w:tr w:rsidR="00FD32F2" w:rsidTr="002D5AED">
        <w:trPr>
          <w:cantSplit/>
          <w:trHeight w:val="10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Date: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  <w:rPr>
                <w:rFonts w:cs="Arial"/>
              </w:rPr>
            </w:pPr>
            <w:r w:rsidRPr="00FD32F2">
              <w:rPr>
                <w:rFonts w:cs="Arial"/>
              </w:rPr>
              <w:t>December 18, 2015</w:t>
            </w:r>
          </w:p>
        </w:tc>
      </w:tr>
      <w:tr w:rsidR="00FD32F2" w:rsidTr="002D5AED">
        <w:trPr>
          <w:cantSplit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Copy To:</w:t>
            </w:r>
          </w:p>
        </w:tc>
        <w:tc>
          <w:tcPr>
            <w:tcW w:w="6912" w:type="dxa"/>
          </w:tcPr>
          <w:p w:rsidR="00FD32F2" w:rsidRDefault="00FD32F2" w:rsidP="002D5AED">
            <w:pPr>
              <w:pStyle w:val="CGAFieldData"/>
            </w:pPr>
          </w:p>
          <w:p w:rsidR="00FD32F2" w:rsidRDefault="00FD32F2" w:rsidP="002D5AED">
            <w:pPr>
              <w:pStyle w:val="CGAFieldData"/>
            </w:pPr>
            <w:r>
              <w:t xml:space="preserve"> </w:t>
            </w:r>
          </w:p>
        </w:tc>
      </w:tr>
    </w:tbl>
    <w:p w:rsidR="00FE0E05" w:rsidRDefault="00FE0E05"/>
    <w:p w:rsidR="005728AB" w:rsidRDefault="005728AB" w:rsidP="005728AB">
      <w:pPr>
        <w:ind w:right="-18"/>
      </w:pPr>
    </w:p>
    <w:p w:rsidR="00FD32F2" w:rsidRDefault="00FD32F2" w:rsidP="00FD32F2">
      <w:pPr>
        <w:pStyle w:val="ListParagraph"/>
        <w:numPr>
          <w:ilvl w:val="0"/>
          <w:numId w:val="2"/>
        </w:numPr>
      </w:pPr>
      <w:r>
        <w:t>Kay Anderson, Northeast Senior Services</w:t>
      </w:r>
    </w:p>
    <w:p w:rsidR="00FD32F2" w:rsidRDefault="00FD32F2" w:rsidP="00FD32F2">
      <w:pPr>
        <w:pStyle w:val="ListParagraph"/>
        <w:numPr>
          <w:ilvl w:val="1"/>
          <w:numId w:val="2"/>
        </w:numPr>
      </w:pPr>
      <w:r>
        <w:t>Organization serves seniors (75+) in NE, Saint Anthony, Fridley, and Columbia Heights (rides, contractors, snow removal, counselling, services)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Small, volunteer-supported organization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Started in 1973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Funded by NRP and grants</w:t>
      </w:r>
    </w:p>
    <w:p w:rsidR="00D5654F" w:rsidRDefault="00D5654F" w:rsidP="00FD32F2">
      <w:pPr>
        <w:pStyle w:val="ListParagraph"/>
        <w:numPr>
          <w:ilvl w:val="2"/>
          <w:numId w:val="2"/>
        </w:numPr>
      </w:pPr>
      <w:r>
        <w:t>For residents &gt;75 yrs ol</w:t>
      </w:r>
    </w:p>
    <w:p w:rsidR="00D5654F" w:rsidRDefault="00D5654F" w:rsidP="00FD32F2">
      <w:pPr>
        <w:pStyle w:val="ListParagraph"/>
        <w:numPr>
          <w:ilvl w:val="2"/>
          <w:numId w:val="2"/>
        </w:numPr>
      </w:pPr>
      <w:r>
        <w:t>Volunteer drivers</w:t>
      </w:r>
    </w:p>
    <w:p w:rsidR="00FD32F2" w:rsidRDefault="00FD32F2" w:rsidP="00FD32F2">
      <w:pPr>
        <w:pStyle w:val="ListParagraph"/>
        <w:numPr>
          <w:ilvl w:val="1"/>
          <w:numId w:val="2"/>
        </w:numPr>
      </w:pPr>
      <w:r>
        <w:t>Neighborhood change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60s/70s: NE predominantly white, but ethnically diverse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70s/80s/90s: decline; changing population; more multifamily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90s/2000s: neighborhood renaissance; NRP Phase 1 (stabilization, block clubs, empowerment)</w:t>
      </w:r>
    </w:p>
    <w:p w:rsidR="00FD32F2" w:rsidRDefault="00FD32F2" w:rsidP="00FD32F2">
      <w:pPr>
        <w:pStyle w:val="ListParagraph"/>
        <w:numPr>
          <w:ilvl w:val="1"/>
          <w:numId w:val="2"/>
        </w:numPr>
      </w:pPr>
      <w:r>
        <w:t>In response to neighborhood change, some seniors feel isolated/not safe</w:t>
      </w:r>
    </w:p>
    <w:p w:rsidR="00FD32F2" w:rsidRDefault="00FD32F2" w:rsidP="00FD32F2">
      <w:pPr>
        <w:pStyle w:val="ListParagraph"/>
        <w:numPr>
          <w:ilvl w:val="1"/>
          <w:numId w:val="2"/>
        </w:numPr>
      </w:pPr>
      <w:r>
        <w:t>Northeast is an attractive area for seniors because of concentration of services</w:t>
      </w:r>
    </w:p>
    <w:p w:rsidR="00FD32F2" w:rsidRDefault="00FD32F2" w:rsidP="00FD32F2">
      <w:pPr>
        <w:pStyle w:val="ListParagraph"/>
        <w:numPr>
          <w:ilvl w:val="1"/>
          <w:numId w:val="2"/>
        </w:numPr>
      </w:pPr>
      <w:r>
        <w:t>Senior Needs/Concerns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Rising rents/costs</w:t>
      </w:r>
    </w:p>
    <w:p w:rsidR="00D5654F" w:rsidRDefault="00D5654F" w:rsidP="00FD32F2">
      <w:pPr>
        <w:pStyle w:val="ListParagraph"/>
        <w:numPr>
          <w:ilvl w:val="2"/>
          <w:numId w:val="2"/>
        </w:numPr>
      </w:pPr>
      <w:r>
        <w:t xml:space="preserve">Just  afew senior housing options ( Holland Hi Rise, Catholic ElderCare, 1010 main St) 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Limited options for seniors who want to transition to smaller-scale facilities (e.g. townhouses on Washington; minimal services)</w:t>
      </w:r>
    </w:p>
    <w:p w:rsidR="00FD32F2" w:rsidRDefault="00FD32F2" w:rsidP="00FD32F2">
      <w:pPr>
        <w:pStyle w:val="ListParagraph"/>
        <w:numPr>
          <w:ilvl w:val="3"/>
          <w:numId w:val="2"/>
        </w:numPr>
      </w:pPr>
      <w:r>
        <w:t>Transitional care – Catholic Elder Care is adding</w:t>
      </w:r>
    </w:p>
    <w:p w:rsidR="00FD32F2" w:rsidRDefault="00FD32F2" w:rsidP="00FD32F2">
      <w:pPr>
        <w:pStyle w:val="ListParagraph"/>
        <w:numPr>
          <w:ilvl w:val="3"/>
          <w:numId w:val="2"/>
        </w:numPr>
      </w:pPr>
      <w:r>
        <w:t xml:space="preserve">Major need for small scale semi-independent living.  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Continued access to services as life expectancy increases</w:t>
      </w:r>
    </w:p>
    <w:p w:rsidR="00FD32F2" w:rsidRDefault="00FD32F2" w:rsidP="00FD32F2">
      <w:pPr>
        <w:pStyle w:val="ListParagraph"/>
        <w:numPr>
          <w:ilvl w:val="2"/>
          <w:numId w:val="2"/>
        </w:numPr>
        <w:ind w:right="-18"/>
      </w:pPr>
      <w:r>
        <w:t>The increase in bicycling has added a new element to how Seniors use the community</w:t>
      </w:r>
    </w:p>
    <w:p w:rsidR="00FD32F2" w:rsidRDefault="00FD32F2" w:rsidP="00FD32F2">
      <w:pPr>
        <w:pStyle w:val="ListParagraph"/>
        <w:numPr>
          <w:ilvl w:val="3"/>
          <w:numId w:val="2"/>
        </w:numPr>
        <w:ind w:right="-18"/>
      </w:pPr>
      <w:r>
        <w:t>Element of surprise</w:t>
      </w:r>
    </w:p>
    <w:p w:rsidR="00FD32F2" w:rsidRDefault="00FD32F2" w:rsidP="00FD32F2">
      <w:pPr>
        <w:pStyle w:val="ListParagraph"/>
        <w:numPr>
          <w:ilvl w:val="3"/>
          <w:numId w:val="2"/>
        </w:numPr>
        <w:ind w:right="-18"/>
      </w:pPr>
      <w:r>
        <w:t xml:space="preserve">Less convenient parking, etc.  </w:t>
      </w:r>
    </w:p>
    <w:p w:rsidR="00FD32F2" w:rsidRDefault="00FD32F2" w:rsidP="00FD32F2">
      <w:pPr>
        <w:pStyle w:val="ListParagraph"/>
        <w:numPr>
          <w:ilvl w:val="3"/>
          <w:numId w:val="2"/>
        </w:numPr>
      </w:pPr>
      <w:r>
        <w:t>Conflicts between drivers/bicyclists and walkers/bicyclists</w:t>
      </w:r>
    </w:p>
    <w:p w:rsidR="00FD32F2" w:rsidRDefault="00FD32F2" w:rsidP="00FD32F2">
      <w:pPr>
        <w:pStyle w:val="ListParagraph"/>
        <w:numPr>
          <w:ilvl w:val="3"/>
          <w:numId w:val="2"/>
        </w:numPr>
      </w:pPr>
      <w:r>
        <w:t>Need more education/awareness for all users</w:t>
      </w:r>
    </w:p>
    <w:p w:rsidR="00FD32F2" w:rsidRDefault="00FD32F2" w:rsidP="00FD32F2">
      <w:pPr>
        <w:pStyle w:val="ListParagraph"/>
        <w:numPr>
          <w:ilvl w:val="2"/>
          <w:numId w:val="2"/>
        </w:numPr>
      </w:pPr>
      <w:r>
        <w:t>Neighborhood meetings should be scheduled during the afternoon (not evenings) when seniors are more able to attend</w:t>
      </w:r>
    </w:p>
    <w:p w:rsidR="00FD32F2" w:rsidRDefault="00FD32F2" w:rsidP="00FD32F2">
      <w:pPr>
        <w:pStyle w:val="ListParagraph"/>
        <w:numPr>
          <w:ilvl w:val="2"/>
          <w:numId w:val="2"/>
        </w:numPr>
        <w:ind w:right="-18"/>
      </w:pPr>
      <w:r>
        <w:t xml:space="preserve">The park is valued, but it does not accommodate seniors as well as it could </w:t>
      </w:r>
    </w:p>
    <w:p w:rsidR="00FD32F2" w:rsidRDefault="00FD32F2" w:rsidP="00FD32F2">
      <w:pPr>
        <w:pStyle w:val="ListParagraph"/>
        <w:numPr>
          <w:ilvl w:val="3"/>
          <w:numId w:val="2"/>
        </w:numPr>
        <w:ind w:right="-18"/>
      </w:pPr>
      <w:r>
        <w:t>Needs more walking paths, benches and gardens</w:t>
      </w:r>
    </w:p>
    <w:p w:rsidR="00FD32F2" w:rsidRDefault="005728AB" w:rsidP="00FD32F2">
      <w:pPr>
        <w:pStyle w:val="ListParagraph"/>
        <w:numPr>
          <w:ilvl w:val="1"/>
          <w:numId w:val="2"/>
        </w:numPr>
      </w:pPr>
      <w:r>
        <w:t>Senior housing in NE</w:t>
      </w:r>
    </w:p>
    <w:p w:rsidR="00FD32F2" w:rsidRDefault="005728AB" w:rsidP="00FD32F2">
      <w:pPr>
        <w:pStyle w:val="ListParagraph"/>
        <w:numPr>
          <w:ilvl w:val="2"/>
          <w:numId w:val="3"/>
        </w:numPr>
        <w:ind w:right="-18"/>
      </w:pPr>
      <w:r>
        <w:t xml:space="preserve">Holland Hi Rise (162 units) </w:t>
      </w:r>
    </w:p>
    <w:p w:rsidR="00FD32F2" w:rsidRDefault="005728AB" w:rsidP="00FD32F2">
      <w:pPr>
        <w:pStyle w:val="ListParagraph"/>
        <w:numPr>
          <w:ilvl w:val="3"/>
          <w:numId w:val="3"/>
        </w:numPr>
        <w:ind w:right="-18"/>
      </w:pPr>
      <w:r>
        <w:t>Section 8</w:t>
      </w:r>
    </w:p>
    <w:p w:rsidR="00FD32F2" w:rsidRDefault="005728AB" w:rsidP="00FD32F2">
      <w:pPr>
        <w:pStyle w:val="ListParagraph"/>
        <w:numPr>
          <w:ilvl w:val="2"/>
          <w:numId w:val="3"/>
        </w:numPr>
        <w:ind w:right="-18"/>
      </w:pPr>
      <w:r>
        <w:t>101 Main Street</w:t>
      </w:r>
    </w:p>
    <w:p w:rsidR="00FD32F2" w:rsidRDefault="00FD32F2" w:rsidP="00FD32F2">
      <w:pPr>
        <w:pStyle w:val="ListParagraph"/>
        <w:numPr>
          <w:ilvl w:val="3"/>
          <w:numId w:val="3"/>
        </w:numPr>
        <w:ind w:right="-18"/>
      </w:pPr>
      <w:r>
        <w:t>Market rate</w:t>
      </w:r>
    </w:p>
    <w:p w:rsidR="00FD32F2" w:rsidRDefault="005728AB" w:rsidP="00FD32F2">
      <w:pPr>
        <w:pStyle w:val="ListParagraph"/>
        <w:numPr>
          <w:ilvl w:val="2"/>
          <w:numId w:val="3"/>
        </w:numPr>
        <w:ind w:right="-18"/>
      </w:pPr>
      <w:r>
        <w:lastRenderedPageBreak/>
        <w:t>__</w:t>
      </w:r>
      <w:r w:rsidR="00FD32F2">
        <w:t>_ Broadway</w:t>
      </w:r>
    </w:p>
    <w:p w:rsidR="005728AB" w:rsidRDefault="005728AB" w:rsidP="00FD32F2">
      <w:pPr>
        <w:pStyle w:val="ListParagraph"/>
        <w:numPr>
          <w:ilvl w:val="3"/>
          <w:numId w:val="3"/>
        </w:numPr>
        <w:ind w:right="-18"/>
      </w:pPr>
      <w:r>
        <w:t>Section 42</w:t>
      </w:r>
    </w:p>
    <w:p w:rsidR="00FD32F2" w:rsidRDefault="00FD32F2" w:rsidP="00FD32F2">
      <w:pPr>
        <w:pStyle w:val="ListParagraph"/>
        <w:ind w:left="2880" w:right="-18"/>
      </w:pPr>
    </w:p>
    <w:p w:rsidR="00FD32F2" w:rsidRDefault="00FD32F2">
      <w:pPr>
        <w:overflowPunct/>
        <w:autoSpaceDE/>
        <w:autoSpaceDN/>
        <w:adjustRightInd/>
        <w:textAlignment w:val="auto"/>
      </w:pPr>
      <w:r>
        <w:br w:type="page"/>
      </w:r>
    </w:p>
    <w:p w:rsidR="00FD32F2" w:rsidRDefault="00FD32F2" w:rsidP="00FD32F2">
      <w:pPr>
        <w:pStyle w:val="ListParagraph"/>
        <w:numPr>
          <w:ilvl w:val="0"/>
          <w:numId w:val="3"/>
        </w:numPr>
      </w:pPr>
      <w:r>
        <w:lastRenderedPageBreak/>
        <w:t>Erika Sass, Assistant Director, Northeast College Prep Charter School</w:t>
      </w:r>
    </w:p>
    <w:p w:rsidR="00FD32F2" w:rsidRDefault="00FD32F2" w:rsidP="00FD32F2">
      <w:pPr>
        <w:pStyle w:val="ListParagraph"/>
        <w:numPr>
          <w:ilvl w:val="1"/>
          <w:numId w:val="3"/>
        </w:numPr>
      </w:pPr>
      <w:r>
        <w:t>School is in its 2</w:t>
      </w:r>
      <w:r w:rsidRPr="00CB3718">
        <w:rPr>
          <w:vertAlign w:val="superscript"/>
        </w:rPr>
        <w:t>nd</w:t>
      </w:r>
      <w:r>
        <w:t xml:space="preserve"> year (currently K-4, K-8 at full enrollment); </w:t>
      </w:r>
    </w:p>
    <w:p w:rsidR="00FD32F2" w:rsidRDefault="00FD32F2" w:rsidP="00FD32F2">
      <w:pPr>
        <w:pStyle w:val="ListParagraph"/>
        <w:numPr>
          <w:ilvl w:val="1"/>
          <w:numId w:val="3"/>
        </w:numPr>
      </w:pPr>
      <w:r>
        <w:t>School is outgrowing current space (at Lowry and Taylor); looking for site for new school facility (35-40k SF; residentially zoned); wants to co-locate with MN Literacy Council</w:t>
      </w:r>
    </w:p>
    <w:p w:rsidR="00FD32F2" w:rsidRDefault="00FD32F2" w:rsidP="00FD32F2">
      <w:pPr>
        <w:pStyle w:val="ListParagraph"/>
        <w:numPr>
          <w:ilvl w:val="1"/>
          <w:numId w:val="3"/>
        </w:numPr>
      </w:pPr>
      <w:r>
        <w:t>School had found a 1.7 acre lot in Holland, but Neighborhood Plan did not support/accommodate a school in that location</w:t>
      </w:r>
    </w:p>
    <w:p w:rsidR="00FD32F2" w:rsidRDefault="00FD32F2" w:rsidP="00FD32F2">
      <w:pPr>
        <w:pStyle w:val="ListParagraph"/>
        <w:numPr>
          <w:ilvl w:val="1"/>
          <w:numId w:val="3"/>
        </w:numPr>
      </w:pPr>
      <w:r>
        <w:t>Is there a way for the LP neighborhood plan to provide flexibility for a school to locate in the area in the future?</w:t>
      </w:r>
    </w:p>
    <w:p w:rsidR="00FD32F2" w:rsidRDefault="00FD32F2" w:rsidP="00FD32F2">
      <w:pPr>
        <w:pStyle w:val="ListParagraph"/>
        <w:ind w:left="1440"/>
      </w:pPr>
    </w:p>
    <w:p w:rsidR="00FD32F2" w:rsidRDefault="00FD32F2" w:rsidP="00FD32F2">
      <w:pPr>
        <w:pStyle w:val="ListParagraph"/>
        <w:numPr>
          <w:ilvl w:val="0"/>
          <w:numId w:val="3"/>
        </w:numPr>
      </w:pPr>
      <w:r>
        <w:t>Neighborhood should serve both ends of the age spectrum: kids and seniors</w:t>
      </w:r>
    </w:p>
    <w:p w:rsidR="00FD32F2" w:rsidRDefault="00FD32F2" w:rsidP="00FD32F2">
      <w:pPr>
        <w:pStyle w:val="ListParagraph"/>
        <w:numPr>
          <w:ilvl w:val="1"/>
          <w:numId w:val="3"/>
        </w:numPr>
      </w:pPr>
      <w:r>
        <w:t>Park Board working on programming/support for seniors (e.g. walking groups in Bottineau Park)</w:t>
      </w:r>
    </w:p>
    <w:p w:rsidR="00FD32F2" w:rsidRDefault="00FD32F2" w:rsidP="00FD32F2">
      <w:pPr>
        <w:pStyle w:val="ListParagraph"/>
        <w:numPr>
          <w:ilvl w:val="1"/>
          <w:numId w:val="3"/>
        </w:numPr>
      </w:pPr>
      <w:r>
        <w:t>Year-round/week-long activity</w:t>
      </w:r>
    </w:p>
    <w:p w:rsidR="00FD32F2" w:rsidRDefault="00FD32F2" w:rsidP="00FD32F2">
      <w:pPr>
        <w:pStyle w:val="ListParagraph"/>
        <w:numPr>
          <w:ilvl w:val="1"/>
          <w:numId w:val="3"/>
        </w:numPr>
      </w:pPr>
      <w:r>
        <w:t>Social places (e.g. restaurants)</w:t>
      </w:r>
    </w:p>
    <w:p w:rsidR="00FD32F2" w:rsidRDefault="00FD32F2" w:rsidP="00FD32F2">
      <w:pPr>
        <w:pStyle w:val="ListParagraph"/>
        <w:numPr>
          <w:ilvl w:val="1"/>
          <w:numId w:val="3"/>
        </w:numPr>
      </w:pPr>
      <w:r>
        <w:t>Need to raise awareness of park programming and services (currently published in brochure and on website)</w:t>
      </w:r>
    </w:p>
    <w:p w:rsidR="005728AB" w:rsidRDefault="005728AB" w:rsidP="005728AB">
      <w:pPr>
        <w:ind w:right="-18"/>
      </w:pPr>
    </w:p>
    <w:p w:rsidR="005728AB" w:rsidRDefault="005728AB" w:rsidP="005728AB">
      <w:pPr>
        <w:ind w:right="-18"/>
      </w:pPr>
    </w:p>
    <w:p w:rsidR="00FE0E05" w:rsidRDefault="00FE0E05"/>
    <w:p w:rsidR="00FE0E05" w:rsidRDefault="000350F0">
      <w:pPr>
        <w:pStyle w:val="CGAFieldTitle"/>
        <w:jc w:val="center"/>
        <w:rPr>
          <w:b/>
          <w:bCs/>
          <w:sz w:val="20"/>
        </w:rPr>
      </w:pPr>
      <w:r>
        <w:rPr>
          <w:b/>
          <w:bCs/>
          <w:sz w:val="20"/>
        </w:rPr>
        <w:t>END OF MEMO</w:t>
      </w:r>
    </w:p>
    <w:p w:rsidR="00FE0E05" w:rsidRDefault="00FE0E05">
      <w:pPr>
        <w:rPr>
          <w:bCs/>
          <w:highlight w:val="yellow"/>
        </w:rPr>
      </w:pPr>
    </w:p>
    <w:p w:rsidR="00FE0E05" w:rsidRDefault="000350F0">
      <w:r>
        <w:rPr>
          <w:bCs/>
          <w:highlight w:val="yellow"/>
        </w:rPr>
        <w:fldChar w:fldCharType="begin"/>
      </w:r>
      <w:r>
        <w:rPr>
          <w:bCs/>
          <w:highlight w:val="yellow"/>
        </w:rPr>
        <w:instrText xml:space="preserve"> MACROBUTTON </w:instrText>
      </w:r>
      <w:r>
        <w:rPr>
          <w:bCs/>
        </w:rPr>
        <w:instrText>none</w:instrText>
      </w:r>
      <w:r>
        <w:rPr>
          <w:bCs/>
          <w:highlight w:val="yellow"/>
        </w:rPr>
        <w:instrText xml:space="preserve"> [</w:instrText>
      </w:r>
      <w:r>
        <w:rPr>
          <w:rFonts w:ascii="Arial" w:hAnsi="Arial" w:cs="Arial"/>
          <w:b/>
          <w:sz w:val="16"/>
          <w:highlight w:val="yellow"/>
        </w:rPr>
        <w:instrText>Replace With Preparer's Initials</w:instrText>
      </w:r>
      <w:r>
        <w:rPr>
          <w:bCs/>
          <w:highlight w:val="yellow"/>
        </w:rPr>
        <w:instrText>]</w:instrText>
      </w:r>
      <w:r>
        <w:rPr>
          <w:bCs/>
          <w:highlight w:val="yellow"/>
        </w:rPr>
        <w:fldChar w:fldCharType="end"/>
      </w:r>
      <w:r>
        <w:t>/</w:t>
      </w:r>
      <w:r>
        <w:rPr>
          <w:bCs/>
          <w:highlight w:val="yellow"/>
        </w:rPr>
        <w:t xml:space="preserve"> </w:t>
      </w:r>
      <w:r>
        <w:rPr>
          <w:bCs/>
          <w:highlight w:val="yellow"/>
        </w:rPr>
        <w:fldChar w:fldCharType="begin"/>
      </w:r>
      <w:r>
        <w:rPr>
          <w:bCs/>
          <w:highlight w:val="yellow"/>
        </w:rPr>
        <w:instrText xml:space="preserve"> MACROBUTTON </w:instrText>
      </w:r>
      <w:r>
        <w:rPr>
          <w:bCs/>
        </w:rPr>
        <w:instrText>none</w:instrText>
      </w:r>
      <w:r>
        <w:rPr>
          <w:bCs/>
          <w:highlight w:val="yellow"/>
        </w:rPr>
        <w:instrText xml:space="preserve"> [</w:instrText>
      </w:r>
      <w:r>
        <w:rPr>
          <w:rFonts w:ascii="Arial" w:hAnsi="Arial" w:cs="Arial"/>
          <w:b/>
          <w:sz w:val="16"/>
          <w:highlight w:val="yellow"/>
        </w:rPr>
        <w:instrText>Replace With Typist's initials</w:instrText>
      </w:r>
      <w:r>
        <w:rPr>
          <w:bCs/>
          <w:highlight w:val="yellow"/>
        </w:rPr>
        <w:instrText>]</w:instrText>
      </w:r>
      <w:r>
        <w:rPr>
          <w:bCs/>
          <w:highlight w:val="yellow"/>
        </w:rPr>
        <w:fldChar w:fldCharType="end"/>
      </w:r>
    </w:p>
    <w:p w:rsidR="00FE0E05" w:rsidRDefault="00FE0E05">
      <w:pPr>
        <w:pStyle w:val="Header"/>
        <w:tabs>
          <w:tab w:val="clear" w:pos="4320"/>
          <w:tab w:val="clear" w:pos="8640"/>
        </w:tabs>
      </w:pPr>
    </w:p>
    <w:sectPr w:rsidR="00FE0E05" w:rsidSect="005728A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088" w:right="2592" w:bottom="1080" w:left="1296" w:header="648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69" w:rsidRDefault="004B7569">
      <w:r>
        <w:separator/>
      </w:r>
    </w:p>
  </w:endnote>
  <w:endnote w:type="continuationSeparator" w:id="0">
    <w:p w:rsidR="004B7569" w:rsidRDefault="004B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4B7569">
    <w:pPr>
      <w:pStyle w:val="CGAFooter0"/>
    </w:pPr>
    <w:r>
      <w:fldChar w:fldCharType="begin"/>
    </w:r>
    <w:r>
      <w:instrText xml:space="preserve"> FILENAME \p </w:instrText>
    </w:r>
    <w:r>
      <w:fldChar w:fldCharType="separate"/>
    </w:r>
    <w:r w:rsidR="005728AB">
      <w:rPr>
        <w:noProof/>
      </w:rPr>
      <w:t>Document2</w:t>
    </w:r>
    <w:r>
      <w:rPr>
        <w:noProof/>
      </w:rPr>
      <w:fldChar w:fldCharType="end"/>
    </w:r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A02374">
      <w:rPr>
        <w:noProof/>
      </w:rPr>
      <w:t>2</w:t>
    </w:r>
    <w:r w:rsidR="000350F0">
      <w:fldChar w:fldCharType="end"/>
    </w:r>
    <w:r w:rsidR="000350F0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A0237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4B7569">
    <w:pPr>
      <w:pStyle w:val="CGAFooter0"/>
    </w:pPr>
    <w:r>
      <w:fldChar w:fldCharType="begin"/>
    </w:r>
    <w:r>
      <w:instrText xml:space="preserve"> FILENAME \p </w:instrText>
    </w:r>
    <w:r>
      <w:fldChar w:fldCharType="separate"/>
    </w:r>
    <w:r w:rsidR="005728AB">
      <w:rPr>
        <w:noProof/>
      </w:rPr>
      <w:t>Document2</w:t>
    </w:r>
    <w:r>
      <w:rPr>
        <w:noProof/>
      </w:rPr>
      <w:fldChar w:fldCharType="end"/>
    </w:r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A02374">
      <w:rPr>
        <w:noProof/>
      </w:rPr>
      <w:t>1</w:t>
    </w:r>
    <w:r w:rsidR="000350F0">
      <w:fldChar w:fldCharType="end"/>
    </w:r>
    <w:r w:rsidR="000350F0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A023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69" w:rsidRDefault="004B7569">
      <w:r>
        <w:separator/>
      </w:r>
    </w:p>
  </w:footnote>
  <w:footnote w:type="continuationSeparator" w:id="0">
    <w:p w:rsidR="004B7569" w:rsidRDefault="004B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0" locked="1" layoutInCell="1" allowOverlap="1" wp14:anchorId="2B56FD84" wp14:editId="4348749D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468E5EE7" wp14:editId="5EDB90DE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5728AB">
    <w:pPr>
      <w:pStyle w:val="CGADocTitle"/>
    </w:pPr>
    <w:r>
      <w:rPr>
        <w:noProof/>
        <w:lang w:bidi="ar-SA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102995" cy="960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0F0">
      <w:t>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9A3"/>
    <w:multiLevelType w:val="hybridMultilevel"/>
    <w:tmpl w:val="05FC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7230"/>
    <w:multiLevelType w:val="hybridMultilevel"/>
    <w:tmpl w:val="E2F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54CB"/>
    <w:multiLevelType w:val="hybridMultilevel"/>
    <w:tmpl w:val="918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4"/>
  <w:drawingGridVerticalSpacing w:val="14"/>
  <w:displayHorizontalDrawingGridEvery w:val="5"/>
  <w:displayVerticalDrawingGridEvery w:val="5"/>
  <w:noPunctuationKerning/>
  <w:characterSpacingControl w:val="doNotCompress"/>
  <w:hdrShapeDefaults>
    <o:shapedefaults v:ext="edit" spidmax="2049">
      <o:colormru v:ext="edit" colors="#7b6d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AB"/>
    <w:rsid w:val="000350F0"/>
    <w:rsid w:val="004B7569"/>
    <w:rsid w:val="005728AB"/>
    <w:rsid w:val="00A02374"/>
    <w:rsid w:val="00D5654F"/>
    <w:rsid w:val="00EC71DF"/>
    <w:rsid w:val="00FD32F2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6d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FD32F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32F2"/>
    <w:rPr>
      <w:sz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FD32F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32F2"/>
    <w:rPr>
      <w:sz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Minneapolis-pg1.wmf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mem20151218</vt:lpstr>
    </vt:vector>
  </TitlesOfParts>
  <Company>Cuningham Group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mem20151218</dc:title>
  <dc:creator>Cuningham Group Architecture, Inc.</dc:creator>
  <cp:lastModifiedBy>Reed Viken, Reanne (Aveda)</cp:lastModifiedBy>
  <cp:revision>2</cp:revision>
  <cp:lastPrinted>2001-06-14T19:10:00Z</cp:lastPrinted>
  <dcterms:created xsi:type="dcterms:W3CDTF">2015-12-21T15:18:00Z</dcterms:created>
  <dcterms:modified xsi:type="dcterms:W3CDTF">2015-12-21T15:18:00Z</dcterms:modified>
</cp:coreProperties>
</file>