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05" w:rsidRDefault="00FE0E05">
      <w:bookmarkStart w:id="0" w:name="_GoBack"/>
      <w:bookmarkEnd w:id="0"/>
    </w:p>
    <w:tbl>
      <w:tblPr>
        <w:tblpPr w:leftFromText="187" w:rightFromText="187" w:vertAnchor="page" w:horzAnchor="margin" w:tblpY="1297"/>
        <w:tblOverlap w:val="never"/>
        <w:tblW w:w="8352" w:type="dxa"/>
        <w:tblBorders>
          <w:bottom w:val="single" w:sz="12" w:space="0" w:color="7B6D54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440"/>
        <w:gridCol w:w="6912"/>
      </w:tblGrid>
      <w:tr w:rsidR="00FE0E05" w:rsidTr="007B3746">
        <w:trPr>
          <w:cantSplit/>
          <w:trHeight w:val="90"/>
        </w:trPr>
        <w:tc>
          <w:tcPr>
            <w:tcW w:w="1440" w:type="dxa"/>
            <w:noWrap/>
          </w:tcPr>
          <w:p w:rsidR="00FE0E05" w:rsidRPr="00EC71DF" w:rsidRDefault="000350F0" w:rsidP="007B3746">
            <w:pPr>
              <w:pStyle w:val="CGAFieldTitle"/>
            </w:pPr>
            <w:r w:rsidRPr="00EC71DF">
              <w:t>To:</w:t>
            </w:r>
          </w:p>
        </w:tc>
        <w:tc>
          <w:tcPr>
            <w:tcW w:w="6912" w:type="dxa"/>
            <w:noWrap/>
          </w:tcPr>
          <w:p w:rsidR="00FE0E05" w:rsidRDefault="005728AB" w:rsidP="007B3746">
            <w:pPr>
              <w:pStyle w:val="CGAFieldData"/>
            </w:pPr>
            <w:r>
              <w:t>Team</w:t>
            </w:r>
          </w:p>
        </w:tc>
      </w:tr>
      <w:tr w:rsidR="00FE0E05" w:rsidTr="007B3746">
        <w:trPr>
          <w:cantSplit/>
          <w:trHeight w:val="74"/>
        </w:trPr>
        <w:tc>
          <w:tcPr>
            <w:tcW w:w="1440" w:type="dxa"/>
            <w:noWrap/>
          </w:tcPr>
          <w:p w:rsidR="00FE0E05" w:rsidRPr="00EC71DF" w:rsidRDefault="000350F0" w:rsidP="007B3746">
            <w:pPr>
              <w:pStyle w:val="CGAFieldTitle"/>
            </w:pPr>
            <w:r w:rsidRPr="00EC71DF">
              <w:t>From:</w:t>
            </w:r>
          </w:p>
        </w:tc>
        <w:tc>
          <w:tcPr>
            <w:tcW w:w="6912" w:type="dxa"/>
            <w:noWrap/>
          </w:tcPr>
          <w:p w:rsidR="00FE0E05" w:rsidRDefault="00C11B77" w:rsidP="007B3746">
            <w:pPr>
              <w:pStyle w:val="CGAFieldData"/>
            </w:pPr>
            <w:proofErr w:type="spellStart"/>
            <w:r>
              <w:t>Cuningham</w:t>
            </w:r>
            <w:proofErr w:type="spellEnd"/>
            <w:r>
              <w:t xml:space="preserve"> </w:t>
            </w:r>
            <w:r w:rsidR="005728AB">
              <w:t>Group</w:t>
            </w:r>
          </w:p>
        </w:tc>
      </w:tr>
      <w:tr w:rsidR="00FE0E05" w:rsidTr="007B3746">
        <w:trPr>
          <w:cantSplit/>
          <w:trHeight w:val="74"/>
        </w:trPr>
        <w:tc>
          <w:tcPr>
            <w:tcW w:w="1440" w:type="dxa"/>
            <w:noWrap/>
          </w:tcPr>
          <w:p w:rsidR="00FE0E05" w:rsidRPr="00EC71DF" w:rsidRDefault="000350F0" w:rsidP="007B3746">
            <w:pPr>
              <w:pStyle w:val="CGAFieldTitle"/>
            </w:pPr>
            <w:r w:rsidRPr="00EC71DF">
              <w:t>Project:</w:t>
            </w:r>
          </w:p>
        </w:tc>
        <w:tc>
          <w:tcPr>
            <w:tcW w:w="6912" w:type="dxa"/>
            <w:noWrap/>
          </w:tcPr>
          <w:p w:rsidR="00FE0E05" w:rsidRDefault="005728AB" w:rsidP="007B3746">
            <w:pPr>
              <w:pStyle w:val="CGAFieldData"/>
            </w:pPr>
            <w:r>
              <w:t>Logan Park</w:t>
            </w:r>
          </w:p>
        </w:tc>
      </w:tr>
      <w:tr w:rsidR="00FE0E05" w:rsidTr="007B3746">
        <w:trPr>
          <w:cantSplit/>
          <w:trHeight w:val="74"/>
        </w:trPr>
        <w:tc>
          <w:tcPr>
            <w:tcW w:w="1440" w:type="dxa"/>
            <w:noWrap/>
          </w:tcPr>
          <w:p w:rsidR="00FE0E05" w:rsidRPr="00EC71DF" w:rsidRDefault="000350F0" w:rsidP="007B3746">
            <w:pPr>
              <w:pStyle w:val="CGAFieldTitle"/>
            </w:pPr>
            <w:r w:rsidRPr="00EC71DF">
              <w:t>Project Number:</w:t>
            </w:r>
          </w:p>
        </w:tc>
        <w:tc>
          <w:tcPr>
            <w:tcW w:w="6912" w:type="dxa"/>
            <w:noWrap/>
          </w:tcPr>
          <w:p w:rsidR="00FE0E05" w:rsidRDefault="005728AB" w:rsidP="007B3746">
            <w:pPr>
              <w:pStyle w:val="CGAFieldData"/>
            </w:pPr>
            <w:r>
              <w:t>Logan Park Small Area Plan</w:t>
            </w:r>
          </w:p>
        </w:tc>
      </w:tr>
      <w:tr w:rsidR="00FE0E05" w:rsidTr="007B3746">
        <w:trPr>
          <w:cantSplit/>
          <w:trHeight w:val="74"/>
        </w:trPr>
        <w:tc>
          <w:tcPr>
            <w:tcW w:w="1440" w:type="dxa"/>
            <w:noWrap/>
          </w:tcPr>
          <w:p w:rsidR="00FE0E05" w:rsidRPr="00EC71DF" w:rsidRDefault="000350F0" w:rsidP="007B3746">
            <w:pPr>
              <w:pStyle w:val="CGAFieldTitle"/>
            </w:pPr>
            <w:r w:rsidRPr="00EC71DF">
              <w:t>Subject:</w:t>
            </w:r>
          </w:p>
        </w:tc>
        <w:tc>
          <w:tcPr>
            <w:tcW w:w="6912" w:type="dxa"/>
            <w:noWrap/>
          </w:tcPr>
          <w:p w:rsidR="00FE0E05" w:rsidRDefault="0068295E" w:rsidP="007B3746">
            <w:pPr>
              <w:pStyle w:val="CGAFieldData"/>
            </w:pPr>
            <w:r>
              <w:t>Meeting Notes</w:t>
            </w:r>
            <w:r w:rsidR="005728AB">
              <w:t xml:space="preserve">: </w:t>
            </w:r>
            <w:r>
              <w:t>Steering Committee</w:t>
            </w:r>
          </w:p>
        </w:tc>
      </w:tr>
      <w:tr w:rsidR="00FE0E05" w:rsidTr="007B3746">
        <w:trPr>
          <w:cantSplit/>
          <w:trHeight w:val="104"/>
        </w:trPr>
        <w:tc>
          <w:tcPr>
            <w:tcW w:w="1440" w:type="dxa"/>
            <w:noWrap/>
          </w:tcPr>
          <w:p w:rsidR="00FE0E05" w:rsidRPr="00EC71DF" w:rsidRDefault="000350F0" w:rsidP="007B3746">
            <w:pPr>
              <w:pStyle w:val="CGAFieldTitle"/>
            </w:pPr>
            <w:r w:rsidRPr="00EC71DF">
              <w:t>Date:</w:t>
            </w:r>
          </w:p>
        </w:tc>
        <w:tc>
          <w:tcPr>
            <w:tcW w:w="6912" w:type="dxa"/>
            <w:noWrap/>
          </w:tcPr>
          <w:p w:rsidR="00FE0E05" w:rsidRPr="005728AB" w:rsidRDefault="00F706C7" w:rsidP="00F706C7">
            <w:pPr>
              <w:pStyle w:val="CGAFieldData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Febraury</w:t>
            </w:r>
            <w:proofErr w:type="spellEnd"/>
            <w:r w:rsidR="005728A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2, 2016</w:t>
            </w:r>
          </w:p>
        </w:tc>
      </w:tr>
      <w:tr w:rsidR="00FE0E05" w:rsidTr="007B3746">
        <w:trPr>
          <w:cantSplit/>
        </w:trPr>
        <w:tc>
          <w:tcPr>
            <w:tcW w:w="1440" w:type="dxa"/>
            <w:noWrap/>
          </w:tcPr>
          <w:p w:rsidR="00FE0E05" w:rsidRPr="00EC71DF" w:rsidRDefault="000350F0" w:rsidP="007B3746">
            <w:pPr>
              <w:pStyle w:val="CGAFieldTitle"/>
            </w:pPr>
            <w:r w:rsidRPr="00EC71DF">
              <w:t>Copy To:</w:t>
            </w:r>
          </w:p>
        </w:tc>
        <w:tc>
          <w:tcPr>
            <w:tcW w:w="6912" w:type="dxa"/>
          </w:tcPr>
          <w:p w:rsidR="00FE0E05" w:rsidRDefault="00FE0E05" w:rsidP="007B3746">
            <w:pPr>
              <w:pStyle w:val="CGAFieldData"/>
            </w:pPr>
          </w:p>
          <w:p w:rsidR="00FE0E05" w:rsidRDefault="000350F0" w:rsidP="007B3746">
            <w:pPr>
              <w:pStyle w:val="CGAFieldData"/>
            </w:pPr>
            <w:r>
              <w:t xml:space="preserve"> </w:t>
            </w:r>
          </w:p>
        </w:tc>
      </w:tr>
    </w:tbl>
    <w:p w:rsidR="0068295E" w:rsidRDefault="0068295E" w:rsidP="0068295E">
      <w:r>
        <w:t xml:space="preserve">Meeting Date: </w:t>
      </w:r>
      <w:r w:rsidR="00F706C7">
        <w:t>January 28, 2016</w:t>
      </w:r>
    </w:p>
    <w:p w:rsidR="005728AB" w:rsidRDefault="0068295E" w:rsidP="0068295E">
      <w:pPr>
        <w:ind w:right="-18"/>
      </w:pPr>
      <w:r>
        <w:t>Location: Logan Park</w:t>
      </w:r>
    </w:p>
    <w:p w:rsidR="005728AB" w:rsidRDefault="005728AB" w:rsidP="005728AB">
      <w:pPr>
        <w:ind w:right="-18"/>
      </w:pPr>
    </w:p>
    <w:p w:rsidR="008E0FAF" w:rsidRDefault="008E0FAF" w:rsidP="009C7EF4">
      <w:pPr>
        <w:pStyle w:val="ListParagraph"/>
        <w:numPr>
          <w:ilvl w:val="0"/>
          <w:numId w:val="6"/>
        </w:numPr>
        <w:spacing w:after="60"/>
        <w:ind w:right="-18"/>
        <w:contextualSpacing w:val="0"/>
      </w:pPr>
      <w:r>
        <w:t>Group generally agreed on the three key points of the vision statement</w:t>
      </w:r>
    </w:p>
    <w:p w:rsidR="009C7EF4" w:rsidRDefault="008E0FAF" w:rsidP="009C7EF4">
      <w:pPr>
        <w:pStyle w:val="ListParagraph"/>
        <w:numPr>
          <w:ilvl w:val="0"/>
          <w:numId w:val="6"/>
        </w:numPr>
        <w:spacing w:after="60"/>
        <w:ind w:right="-18"/>
        <w:contextualSpacing w:val="0"/>
      </w:pPr>
      <w:r>
        <w:t>Neighborhood has a unique mix/balance between housing and employment- and that has been its character historically</w:t>
      </w:r>
    </w:p>
    <w:p w:rsidR="009C7EF4" w:rsidRDefault="009C7EF4" w:rsidP="009C7EF4">
      <w:pPr>
        <w:pStyle w:val="ListParagraph"/>
        <w:spacing w:after="60"/>
        <w:ind w:right="-18"/>
        <w:contextualSpacing w:val="0"/>
      </w:pPr>
    </w:p>
    <w:p w:rsidR="00A72736" w:rsidRDefault="00A72736" w:rsidP="002537AE">
      <w:pPr>
        <w:spacing w:after="60"/>
        <w:ind w:left="360" w:right="-18"/>
      </w:pPr>
      <w:r>
        <w:t>Strategic Direction #1: Strike a balance between preservation, adaptation, and new construction</w:t>
      </w:r>
    </w:p>
    <w:p w:rsidR="002D3BB0" w:rsidRDefault="00A72736" w:rsidP="002D3BB0">
      <w:pPr>
        <w:pStyle w:val="ListParagraph"/>
        <w:numPr>
          <w:ilvl w:val="0"/>
          <w:numId w:val="6"/>
        </w:numPr>
        <w:spacing w:after="60"/>
        <w:ind w:right="-18"/>
        <w:contextualSpacing w:val="0"/>
      </w:pPr>
      <w:r>
        <w:t>General agreement on the idea of “mostly preserving” within west residential area</w:t>
      </w:r>
      <w:r w:rsidR="002D3BB0">
        <w:t xml:space="preserve"> (Goal A)</w:t>
      </w:r>
      <w:r>
        <w:t>, with support for adaptation and building new medium density housing along Broadway and at 17</w:t>
      </w:r>
      <w:r w:rsidRPr="00A72736">
        <w:rPr>
          <w:vertAlign w:val="superscript"/>
        </w:rPr>
        <w:t>th</w:t>
      </w:r>
      <w:r>
        <w:t>/Washington node</w:t>
      </w:r>
    </w:p>
    <w:p w:rsidR="00A72736" w:rsidRDefault="002D3BB0" w:rsidP="002D3BB0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>O</w:t>
      </w:r>
      <w:r w:rsidR="00A72736">
        <w:t>ne committee member voiced support for medium density interior to the neighborhood (not just along the major corridors)</w:t>
      </w:r>
    </w:p>
    <w:p w:rsidR="002D3BB0" w:rsidRDefault="002D3BB0" w:rsidP="002D3BB0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>Hundred-year old homes may have a lot more life in them if well-maintained; newer homes are not necessarily longer lasting</w:t>
      </w:r>
    </w:p>
    <w:p w:rsidR="002D3BB0" w:rsidRDefault="002D3BB0" w:rsidP="002D3BB0">
      <w:pPr>
        <w:pStyle w:val="ListParagraph"/>
        <w:numPr>
          <w:ilvl w:val="0"/>
          <w:numId w:val="6"/>
        </w:numPr>
        <w:spacing w:after="60"/>
        <w:ind w:right="-18"/>
        <w:contextualSpacing w:val="0"/>
      </w:pPr>
      <w:r>
        <w:t>Concerns about Goal D - medium density development/new construction in residential zone north of 18</w:t>
      </w:r>
      <w:r w:rsidRPr="002D3BB0">
        <w:rPr>
          <w:vertAlign w:val="superscript"/>
        </w:rPr>
        <w:t>th</w:t>
      </w:r>
      <w:r>
        <w:t xml:space="preserve"> avenue and east of the rail:</w:t>
      </w:r>
    </w:p>
    <w:p w:rsidR="002D3BB0" w:rsidRDefault="002D3BB0" w:rsidP="002D3BB0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>Area is “transitional” – there is vacancy and underutilized properties</w:t>
      </w:r>
    </w:p>
    <w:p w:rsidR="002D3BB0" w:rsidRDefault="002D3BB0" w:rsidP="002D3BB0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>Some of the single-family homes in the area are in good shape and should be preserved – Should be “</w:t>
      </w:r>
      <w:r w:rsidRPr="002D3BB0">
        <w:rPr>
          <w:u w:val="single"/>
        </w:rPr>
        <w:t>preserve</w:t>
      </w:r>
      <w:r>
        <w:t>, adapt, and build new”</w:t>
      </w:r>
    </w:p>
    <w:p w:rsidR="002D3BB0" w:rsidRDefault="002D3BB0" w:rsidP="002D3BB0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 xml:space="preserve">“Build new” should be </w:t>
      </w:r>
      <w:r w:rsidR="0060016A">
        <w:t>limited to area immediately facing</w:t>
      </w:r>
      <w:r>
        <w:t xml:space="preserve"> 18</w:t>
      </w:r>
      <w:r w:rsidRPr="002D3BB0">
        <w:rPr>
          <w:vertAlign w:val="superscript"/>
        </w:rPr>
        <w:t>th</w:t>
      </w:r>
      <w:r>
        <w:t xml:space="preserve"> Avenue as a complement to the Thorpe building and arts development to the south</w:t>
      </w:r>
    </w:p>
    <w:p w:rsidR="002D3BB0" w:rsidRDefault="002D3BB0" w:rsidP="002D3BB0">
      <w:pPr>
        <w:pStyle w:val="ListParagraph"/>
        <w:numPr>
          <w:ilvl w:val="0"/>
          <w:numId w:val="6"/>
        </w:numPr>
        <w:spacing w:after="60"/>
        <w:ind w:right="-18"/>
        <w:contextualSpacing w:val="0"/>
      </w:pPr>
      <w:r>
        <w:t>General agreement about Goal C:</w:t>
      </w:r>
      <w:r w:rsidR="0060016A">
        <w:t xml:space="preserve"> mix of</w:t>
      </w:r>
      <w:r>
        <w:t xml:space="preserve"> preservation of “legacy buildings”, adaptive reuse</w:t>
      </w:r>
      <w:r w:rsidR="0060016A">
        <w:t>,</w:t>
      </w:r>
      <w:r>
        <w:t xml:space="preserve"> and new construction. </w:t>
      </w:r>
    </w:p>
    <w:p w:rsidR="002537AE" w:rsidRDefault="002537AE" w:rsidP="002537AE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>Need flexibility within zoning to support creative reuse of buildings</w:t>
      </w:r>
    </w:p>
    <w:p w:rsidR="002D3BB0" w:rsidRDefault="002D3BB0" w:rsidP="002D3BB0">
      <w:pPr>
        <w:pStyle w:val="ListParagraph"/>
        <w:numPr>
          <w:ilvl w:val="0"/>
          <w:numId w:val="6"/>
        </w:numPr>
        <w:spacing w:after="60"/>
        <w:ind w:right="-18"/>
        <w:contextualSpacing w:val="0"/>
      </w:pPr>
      <w:r>
        <w:t>Differing views on Goal E, “mostly build new” along Central Ave:</w:t>
      </w:r>
    </w:p>
    <w:p w:rsidR="0060016A" w:rsidRDefault="0060016A" w:rsidP="0060016A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>Arts building owners talked about loss of surface lots/move to structured parking – and impact to affordability, convenience, customer access; Northrup King and Casket Arts tailor building use to available parking spaces, not the other way around</w:t>
      </w:r>
      <w:r w:rsidR="00E73DFA">
        <w:t xml:space="preserve">. </w:t>
      </w:r>
    </w:p>
    <w:p w:rsidR="00E73DFA" w:rsidRDefault="00E73DFA" w:rsidP="0060016A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 xml:space="preserve">Building owners work out parking situations among themselves and we should not build a ramp for anticipated densities because it will go unused and will end up adding costs to the building owners. </w:t>
      </w:r>
    </w:p>
    <w:p w:rsidR="002537AE" w:rsidRDefault="0060016A" w:rsidP="002537AE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>Concerns about how higher density development will impact access/circulation in the area; need to focus on improving bike and pedestrian connections today in advance of future development</w:t>
      </w:r>
    </w:p>
    <w:p w:rsidR="0060016A" w:rsidRDefault="0060016A" w:rsidP="0060016A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lastRenderedPageBreak/>
        <w:t>Concern that City already has a plan for Central Ave and future streetcar development that will overshadow local development goals</w:t>
      </w:r>
    </w:p>
    <w:p w:rsidR="0060016A" w:rsidRPr="008E0FAF" w:rsidRDefault="0060016A" w:rsidP="0060016A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>Others see opportunity to direct future growth and redevelopment along Central – This plan is our opportunity to have a say in where and redevelopment occurs</w:t>
      </w:r>
    </w:p>
    <w:p w:rsidR="009C7EF4" w:rsidRDefault="009C7EF4" w:rsidP="009C7EF4">
      <w:pPr>
        <w:pStyle w:val="ListParagraph"/>
        <w:spacing w:after="60"/>
        <w:contextualSpacing w:val="0"/>
      </w:pPr>
    </w:p>
    <w:p w:rsidR="00A72736" w:rsidRDefault="00A72736" w:rsidP="002537AE">
      <w:pPr>
        <w:spacing w:after="60"/>
        <w:ind w:right="-18" w:firstLine="360"/>
      </w:pPr>
      <w:r>
        <w:t>Strategic Direction #2: Build connections to and through the neighborhood</w:t>
      </w:r>
    </w:p>
    <w:p w:rsidR="00A72736" w:rsidRDefault="00C67B1D" w:rsidP="0060016A">
      <w:pPr>
        <w:pStyle w:val="ListParagraph"/>
        <w:numPr>
          <w:ilvl w:val="0"/>
          <w:numId w:val="6"/>
        </w:numPr>
        <w:spacing w:after="60"/>
        <w:ind w:right="-18"/>
        <w:contextualSpacing w:val="0"/>
      </w:pPr>
      <w:r>
        <w:t>General support for connectivity goals.</w:t>
      </w:r>
    </w:p>
    <w:p w:rsidR="00C67B1D" w:rsidRDefault="00C67B1D" w:rsidP="00C67B1D">
      <w:pPr>
        <w:pStyle w:val="ListParagraph"/>
        <w:numPr>
          <w:ilvl w:val="0"/>
          <w:numId w:val="6"/>
        </w:numPr>
        <w:spacing w:after="60"/>
        <w:ind w:right="-18"/>
        <w:contextualSpacing w:val="0"/>
      </w:pPr>
      <w:r>
        <w:t>13</w:t>
      </w:r>
      <w:r w:rsidRPr="00C67B1D">
        <w:rPr>
          <w:vertAlign w:val="superscript"/>
        </w:rPr>
        <w:t>th</w:t>
      </w:r>
      <w:r>
        <w:t xml:space="preserve"> and Monroe – both have potential as future bikeways</w:t>
      </w:r>
    </w:p>
    <w:p w:rsidR="00C67B1D" w:rsidRDefault="00C67B1D" w:rsidP="00C67B1D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 xml:space="preserve">Monroe is already used by some </w:t>
      </w:r>
      <w:r w:rsidR="00265459">
        <w:t xml:space="preserve">as </w:t>
      </w:r>
      <w:r>
        <w:t>an unofficial bike route (and alternative to Central); could be a bike boulevard.</w:t>
      </w:r>
    </w:p>
    <w:p w:rsidR="00C67B1D" w:rsidRDefault="00265459" w:rsidP="00C67B1D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>Questions</w:t>
      </w:r>
      <w:r w:rsidR="00C67B1D">
        <w:t xml:space="preserve"> about limited right of way and impact to parked cars </w:t>
      </w:r>
    </w:p>
    <w:p w:rsidR="0060016A" w:rsidRDefault="00C67B1D" w:rsidP="0060016A">
      <w:pPr>
        <w:pStyle w:val="ListParagraph"/>
        <w:numPr>
          <w:ilvl w:val="0"/>
          <w:numId w:val="6"/>
        </w:numPr>
        <w:spacing w:after="60"/>
        <w:ind w:right="-18"/>
        <w:contextualSpacing w:val="0"/>
      </w:pPr>
      <w:r>
        <w:t xml:space="preserve">Support for traffic calming and road diet (conversion from four lanes to three lanes) on </w:t>
      </w:r>
      <w:r w:rsidR="00E73DFA">
        <w:t>Broadway</w:t>
      </w:r>
      <w:r>
        <w:t xml:space="preserve"> Avenue</w:t>
      </w:r>
    </w:p>
    <w:p w:rsidR="00C67B1D" w:rsidRDefault="00C67B1D" w:rsidP="00C67B1D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>Pedestrian experience is bad; fast moving traffic with only a narrow boulevard separating the sidewalk from the street</w:t>
      </w:r>
    </w:p>
    <w:p w:rsidR="00C67B1D" w:rsidRDefault="00C67B1D" w:rsidP="00C67B1D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 xml:space="preserve">Central Ave </w:t>
      </w:r>
      <w:r w:rsidR="00E73DFA">
        <w:t>and Broadway</w:t>
      </w:r>
      <w:r>
        <w:t xml:space="preserve"> should be better pedestrian experience</w:t>
      </w:r>
    </w:p>
    <w:p w:rsidR="00C67B1D" w:rsidRDefault="00C67B1D" w:rsidP="00C67B1D">
      <w:pPr>
        <w:spacing w:after="60"/>
        <w:ind w:left="1080" w:right="-18"/>
      </w:pPr>
    </w:p>
    <w:p w:rsidR="00A72736" w:rsidRDefault="00A72736" w:rsidP="002537AE">
      <w:pPr>
        <w:spacing w:after="60"/>
        <w:ind w:right="-18" w:firstLine="360"/>
      </w:pPr>
      <w:r>
        <w:t>Strategic Direction #3: Revitalize/Reinvent community spaces</w:t>
      </w:r>
    </w:p>
    <w:p w:rsidR="00C67B1D" w:rsidRDefault="00C67B1D" w:rsidP="00C67B1D">
      <w:pPr>
        <w:pStyle w:val="ListParagraph"/>
        <w:numPr>
          <w:ilvl w:val="0"/>
          <w:numId w:val="6"/>
        </w:numPr>
        <w:spacing w:after="60"/>
        <w:ind w:right="-18"/>
        <w:contextualSpacing w:val="0"/>
      </w:pPr>
      <w:r>
        <w:t>Strong support for improvement in Logan Park</w:t>
      </w:r>
    </w:p>
    <w:p w:rsidR="00C67B1D" w:rsidRDefault="00C67B1D" w:rsidP="00C67B1D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>Make walking paths more intuitive/smooth; create a promenade</w:t>
      </w:r>
    </w:p>
    <w:p w:rsidR="00C67B1D" w:rsidRDefault="00C67B1D" w:rsidP="00C67B1D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>More landscaping/garden feel; flowering trees along paths</w:t>
      </w:r>
    </w:p>
    <w:p w:rsidR="00C67B1D" w:rsidRDefault="00C67B1D" w:rsidP="00C67B1D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>Better lighting – could be an art project</w:t>
      </w:r>
    </w:p>
    <w:p w:rsidR="00C67B1D" w:rsidRDefault="00C67B1D" w:rsidP="00C67B1D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>Integrate public art and seating/furniture</w:t>
      </w:r>
    </w:p>
    <w:p w:rsidR="00C67B1D" w:rsidRDefault="00C67B1D" w:rsidP="00C67B1D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>Focus on north and south edges of the park in particular</w:t>
      </w:r>
    </w:p>
    <w:p w:rsidR="00C67B1D" w:rsidRDefault="00C67B1D" w:rsidP="00C67B1D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>Athletic facilities are well-used</w:t>
      </w:r>
    </w:p>
    <w:p w:rsidR="00C67B1D" w:rsidRDefault="00C67B1D" w:rsidP="00C67B1D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>Think of park as the neighborhood’s “front yard” - Bring more community programming/events into the park</w:t>
      </w:r>
    </w:p>
    <w:p w:rsidR="00B9488C" w:rsidRDefault="00B9488C" w:rsidP="00C67B1D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 xml:space="preserve">The north edge as a promenade, a place of beauty, friendliness, and safety. </w:t>
      </w:r>
    </w:p>
    <w:p w:rsidR="00C67B1D" w:rsidRDefault="00C67B1D" w:rsidP="00C67B1D">
      <w:pPr>
        <w:pStyle w:val="ListParagraph"/>
        <w:numPr>
          <w:ilvl w:val="0"/>
          <w:numId w:val="6"/>
        </w:numPr>
        <w:spacing w:after="60"/>
        <w:ind w:right="-18"/>
        <w:contextualSpacing w:val="0"/>
      </w:pPr>
      <w:r>
        <w:t>Support for undercover parks</w:t>
      </w:r>
      <w:r w:rsidR="002537AE">
        <w:t xml:space="preserve"> and more public art in the neighborhood</w:t>
      </w:r>
    </w:p>
    <w:p w:rsidR="00C67B1D" w:rsidRDefault="00C67B1D" w:rsidP="00C67B1D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>Create a neighborhood dog park</w:t>
      </w:r>
    </w:p>
    <w:p w:rsidR="00C67B1D" w:rsidRDefault="00C67B1D" w:rsidP="00C67B1D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>Do something with vacant lots (snow lot or BNSF lot north of Indeed)</w:t>
      </w:r>
    </w:p>
    <w:p w:rsidR="00C67B1D" w:rsidRDefault="00C67B1D" w:rsidP="00C67B1D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>Prairie garden</w:t>
      </w:r>
      <w:r w:rsidR="002537AE">
        <w:t xml:space="preserve"> on BNSF site</w:t>
      </w:r>
    </w:p>
    <w:p w:rsidR="00C67B1D" w:rsidRDefault="002537AE" w:rsidP="00C67B1D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>Franconia is a well-loved destination</w:t>
      </w:r>
    </w:p>
    <w:p w:rsidR="001E6980" w:rsidRDefault="001E6980" w:rsidP="00C67B1D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>Do something along public works lot at Jefferson and 18</w:t>
      </w:r>
      <w:r w:rsidRPr="00B9488C">
        <w:rPr>
          <w:vertAlign w:val="superscript"/>
        </w:rPr>
        <w:t>th</w:t>
      </w:r>
    </w:p>
    <w:p w:rsidR="00B9488C" w:rsidRDefault="00B9488C" w:rsidP="00C67B1D">
      <w:pPr>
        <w:pStyle w:val="ListParagraph"/>
        <w:numPr>
          <w:ilvl w:val="1"/>
          <w:numId w:val="6"/>
        </w:numPr>
        <w:spacing w:after="60"/>
        <w:ind w:right="-18"/>
        <w:contextualSpacing w:val="0"/>
      </w:pPr>
      <w:r>
        <w:t xml:space="preserve">In the past the neighborhood organized a sculpture tour during Art a Whirl. </w:t>
      </w:r>
    </w:p>
    <w:p w:rsidR="00A72736" w:rsidRDefault="00A72736" w:rsidP="002537AE">
      <w:pPr>
        <w:spacing w:after="60"/>
      </w:pPr>
    </w:p>
    <w:p w:rsidR="009C7EF4" w:rsidRPr="009C7EF4" w:rsidRDefault="009C7EF4" w:rsidP="009C7EF4">
      <w:pPr>
        <w:pStyle w:val="ListParagraph"/>
        <w:numPr>
          <w:ilvl w:val="0"/>
          <w:numId w:val="8"/>
        </w:numPr>
        <w:spacing w:after="60"/>
        <w:contextualSpacing w:val="0"/>
      </w:pPr>
      <w:r>
        <w:t>Reminder to group about the February 17</w:t>
      </w:r>
      <w:r w:rsidRPr="009C7EF4">
        <w:rPr>
          <w:vertAlign w:val="superscript"/>
        </w:rPr>
        <w:t>th</w:t>
      </w:r>
      <w:r>
        <w:t xml:space="preserve"> public meeting at Able </w:t>
      </w:r>
      <w:proofErr w:type="spellStart"/>
      <w:r>
        <w:t>Seedhouse</w:t>
      </w:r>
      <w:proofErr w:type="spellEnd"/>
      <w:r>
        <w:t xml:space="preserve"> Brewery; format will include more social/open activities rather than a typical open house presentation- to take advantage of the pub room vibe and provide a fun and social experience.</w:t>
      </w:r>
    </w:p>
    <w:p w:rsidR="00FE0E05" w:rsidRDefault="00FE0E05">
      <w:pPr>
        <w:pStyle w:val="Header"/>
        <w:tabs>
          <w:tab w:val="clear" w:pos="4320"/>
          <w:tab w:val="clear" w:pos="8640"/>
        </w:tabs>
      </w:pPr>
    </w:p>
    <w:p w:rsidR="00FE0E05" w:rsidRDefault="00FE0E05"/>
    <w:p w:rsidR="00FE0E05" w:rsidRDefault="000350F0">
      <w:pPr>
        <w:pStyle w:val="CGAFieldTitle"/>
        <w:jc w:val="center"/>
        <w:rPr>
          <w:b/>
          <w:bCs/>
          <w:sz w:val="20"/>
        </w:rPr>
      </w:pPr>
      <w:r>
        <w:rPr>
          <w:b/>
          <w:bCs/>
          <w:sz w:val="20"/>
        </w:rPr>
        <w:t>END OF MEMO</w:t>
      </w:r>
    </w:p>
    <w:p w:rsidR="00FE0E05" w:rsidRDefault="00FE0E05">
      <w:pPr>
        <w:rPr>
          <w:bCs/>
          <w:highlight w:val="yellow"/>
        </w:rPr>
      </w:pPr>
    </w:p>
    <w:p w:rsidR="00FE0E05" w:rsidRDefault="00FE0E05">
      <w:pPr>
        <w:pStyle w:val="Header"/>
        <w:tabs>
          <w:tab w:val="clear" w:pos="4320"/>
          <w:tab w:val="clear" w:pos="8640"/>
        </w:tabs>
      </w:pPr>
    </w:p>
    <w:sectPr w:rsidR="00FE0E05" w:rsidSect="005728A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088" w:right="2592" w:bottom="1080" w:left="1296" w:header="648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8F" w:rsidRDefault="003F4E8F">
      <w:r>
        <w:separator/>
      </w:r>
    </w:p>
  </w:endnote>
  <w:endnote w:type="continuationSeparator" w:id="0">
    <w:p w:rsidR="003F4E8F" w:rsidRDefault="003F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5" w:rsidRDefault="00E73DFA">
    <w:pPr>
      <w:pStyle w:val="CGAFooter0"/>
    </w:pPr>
    <w:fldSimple w:instr=" FILENAME \p ">
      <w:r w:rsidR="005728AB">
        <w:rPr>
          <w:noProof/>
        </w:rPr>
        <w:t>Document2</w:t>
      </w:r>
    </w:fldSimple>
    <w:r w:rsidR="000350F0">
      <w:tab/>
      <w:t xml:space="preserve">Page </w:t>
    </w:r>
    <w:r w:rsidR="000350F0">
      <w:fldChar w:fldCharType="begin"/>
    </w:r>
    <w:r w:rsidR="000350F0">
      <w:instrText xml:space="preserve"> PAGE  \* MERGEFORMAT </w:instrText>
    </w:r>
    <w:r w:rsidR="000350F0">
      <w:fldChar w:fldCharType="separate"/>
    </w:r>
    <w:r w:rsidR="00072CCE">
      <w:rPr>
        <w:noProof/>
      </w:rPr>
      <w:t>3</w:t>
    </w:r>
    <w:r w:rsidR="000350F0">
      <w:fldChar w:fldCharType="end"/>
    </w:r>
    <w:r w:rsidR="000350F0">
      <w:t xml:space="preserve"> of </w:t>
    </w:r>
    <w:fldSimple w:instr=" NUMPAGES  \* MERGEFORMAT ">
      <w:r w:rsidR="00072CCE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5" w:rsidRDefault="00E73DFA">
    <w:pPr>
      <w:pStyle w:val="CGAFooter0"/>
    </w:pPr>
    <w:fldSimple w:instr=" FILENAME \p ">
      <w:r w:rsidR="005728AB">
        <w:rPr>
          <w:noProof/>
        </w:rPr>
        <w:t>Document2</w:t>
      </w:r>
    </w:fldSimple>
    <w:r w:rsidR="000350F0">
      <w:tab/>
      <w:t xml:space="preserve">Page </w:t>
    </w:r>
    <w:r w:rsidR="000350F0">
      <w:fldChar w:fldCharType="begin"/>
    </w:r>
    <w:r w:rsidR="000350F0">
      <w:instrText xml:space="preserve"> PAGE  \* MERGEFORMAT </w:instrText>
    </w:r>
    <w:r w:rsidR="000350F0">
      <w:fldChar w:fldCharType="separate"/>
    </w:r>
    <w:r w:rsidR="00072CCE">
      <w:rPr>
        <w:noProof/>
      </w:rPr>
      <w:t>1</w:t>
    </w:r>
    <w:r w:rsidR="000350F0">
      <w:fldChar w:fldCharType="end"/>
    </w:r>
    <w:r w:rsidR="000350F0">
      <w:t xml:space="preserve"> of </w:t>
    </w:r>
    <w:fldSimple w:instr=" NUMPAGES  \* MERGEFORMAT ">
      <w:r w:rsidR="00072CC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8F" w:rsidRDefault="003F4E8F">
      <w:r>
        <w:separator/>
      </w:r>
    </w:p>
  </w:footnote>
  <w:footnote w:type="continuationSeparator" w:id="0">
    <w:p w:rsidR="003F4E8F" w:rsidRDefault="003F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AB" w:rsidRDefault="005728AB">
    <w:pPr>
      <w:pStyle w:val="Header"/>
    </w:pPr>
    <w:r>
      <w:rPr>
        <w:noProof/>
        <w:lang w:bidi="ar-SA"/>
      </w:rPr>
      <w:drawing>
        <wp:anchor distT="0" distB="0" distL="114300" distR="114300" simplePos="0" relativeHeight="251660288" behindDoc="0" locked="1" layoutInCell="1" allowOverlap="1" wp14:anchorId="2B56FD84" wp14:editId="4348749D">
          <wp:simplePos x="0" y="0"/>
          <wp:positionH relativeFrom="page">
            <wp:posOffset>6446520</wp:posOffset>
          </wp:positionH>
          <wp:positionV relativeFrom="page">
            <wp:posOffset>228600</wp:posOffset>
          </wp:positionV>
          <wp:extent cx="1092835" cy="13436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8AB" w:rsidRDefault="005728AB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1" layoutInCell="1" allowOverlap="1" wp14:anchorId="468E5EE7" wp14:editId="5EDB90DE">
          <wp:simplePos x="0" y="0"/>
          <wp:positionH relativeFrom="page">
            <wp:posOffset>6446520</wp:posOffset>
          </wp:positionH>
          <wp:positionV relativeFrom="page">
            <wp:posOffset>228600</wp:posOffset>
          </wp:positionV>
          <wp:extent cx="1092835" cy="13436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835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05" w:rsidRDefault="005728AB">
    <w:pPr>
      <w:pStyle w:val="CGADocTitle"/>
    </w:pPr>
    <w:r>
      <w:rPr>
        <w:noProof/>
        <w:lang w:bidi="ar-SA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6446520</wp:posOffset>
          </wp:positionH>
          <wp:positionV relativeFrom="page">
            <wp:posOffset>228600</wp:posOffset>
          </wp:positionV>
          <wp:extent cx="1102995" cy="960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9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0F0">
      <w:t>Memorandum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CAF"/>
    <w:multiLevelType w:val="hybridMultilevel"/>
    <w:tmpl w:val="973A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F03B1"/>
    <w:multiLevelType w:val="hybridMultilevel"/>
    <w:tmpl w:val="A3D4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47F7C"/>
    <w:multiLevelType w:val="hybridMultilevel"/>
    <w:tmpl w:val="1B00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811D6"/>
    <w:multiLevelType w:val="hybridMultilevel"/>
    <w:tmpl w:val="C1A4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0052F"/>
    <w:multiLevelType w:val="hybridMultilevel"/>
    <w:tmpl w:val="33C8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738CA"/>
    <w:multiLevelType w:val="hybridMultilevel"/>
    <w:tmpl w:val="9D6E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C3531"/>
    <w:multiLevelType w:val="hybridMultilevel"/>
    <w:tmpl w:val="BCFC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B690A"/>
    <w:multiLevelType w:val="hybridMultilevel"/>
    <w:tmpl w:val="C61C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A746A"/>
    <w:multiLevelType w:val="hybridMultilevel"/>
    <w:tmpl w:val="B386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54AD5"/>
    <w:multiLevelType w:val="hybridMultilevel"/>
    <w:tmpl w:val="3D34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4"/>
  <w:drawingGridVerticalSpacing w:val="14"/>
  <w:displayHorizontalDrawingGridEvery w:val="5"/>
  <w:displayVerticalDrawingGridEvery w:val="5"/>
  <w:noPunctuationKerning/>
  <w:characterSpacingControl w:val="doNotCompress"/>
  <w:hdrShapeDefaults>
    <o:shapedefaults v:ext="edit" spidmax="2049">
      <o:colormru v:ext="edit" colors="#7b6d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AB"/>
    <w:rsid w:val="000350F0"/>
    <w:rsid w:val="00072CCE"/>
    <w:rsid w:val="001E6980"/>
    <w:rsid w:val="002537AE"/>
    <w:rsid w:val="00265459"/>
    <w:rsid w:val="002D3BB0"/>
    <w:rsid w:val="003F4E8F"/>
    <w:rsid w:val="005728AB"/>
    <w:rsid w:val="0060016A"/>
    <w:rsid w:val="0068295E"/>
    <w:rsid w:val="007B3746"/>
    <w:rsid w:val="008E0FAF"/>
    <w:rsid w:val="009C7EF4"/>
    <w:rsid w:val="00A72736"/>
    <w:rsid w:val="00B9488C"/>
    <w:rsid w:val="00C11B77"/>
    <w:rsid w:val="00C67B1D"/>
    <w:rsid w:val="00E73DFA"/>
    <w:rsid w:val="00EC71DF"/>
    <w:rsid w:val="00F706C7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b6d5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GAfooter">
    <w:name w:val="CGAfooter"/>
    <w:basedOn w:val="Footer"/>
    <w:pPr>
      <w:tabs>
        <w:tab w:val="clear" w:pos="4320"/>
        <w:tab w:val="clear" w:pos="8640"/>
        <w:tab w:val="right" w:pos="7920"/>
      </w:tabs>
    </w:pPr>
    <w:rPr>
      <w:rFonts w:ascii="Swis721 Cn BT" w:hAnsi="Swis721 Cn BT"/>
      <w:color w:val="000000"/>
      <w:sz w:val="16"/>
    </w:rPr>
  </w:style>
  <w:style w:type="paragraph" w:customStyle="1" w:styleId="CGADocTitle">
    <w:name w:val="CGA Doc Title"/>
    <w:basedOn w:val="Normal"/>
    <w:rPr>
      <w:rFonts w:ascii="Myriad Pro" w:hAnsi="Myriad Pro"/>
      <w:b/>
      <w:sz w:val="36"/>
    </w:rPr>
  </w:style>
  <w:style w:type="paragraph" w:customStyle="1" w:styleId="CGAFieldData">
    <w:name w:val="CGA Field Data"/>
    <w:basedOn w:val="Normal"/>
    <w:rPr>
      <w:rFonts w:ascii="Arial" w:hAnsi="Arial"/>
      <w:b/>
      <w:sz w:val="20"/>
    </w:rPr>
  </w:style>
  <w:style w:type="paragraph" w:customStyle="1" w:styleId="CGAFieldTitle">
    <w:name w:val="CGA Field Title"/>
    <w:basedOn w:val="Normal"/>
    <w:rPr>
      <w:rFonts w:ascii="Myriad Pro" w:hAnsi="Myriad Pro"/>
      <w:sz w:val="18"/>
    </w:rPr>
  </w:style>
  <w:style w:type="paragraph" w:customStyle="1" w:styleId="CGAFooter0">
    <w:name w:val="CGA Footer"/>
    <w:basedOn w:val="Footer"/>
    <w:pPr>
      <w:tabs>
        <w:tab w:val="clear" w:pos="4320"/>
        <w:tab w:val="clear" w:pos="8640"/>
        <w:tab w:val="right" w:pos="8352"/>
      </w:tabs>
    </w:pPr>
    <w:rPr>
      <w:rFonts w:ascii="Myriad Pro" w:hAnsi="Myriad Pro"/>
      <w:color w:val="000000"/>
      <w:sz w:val="16"/>
    </w:rPr>
  </w:style>
  <w:style w:type="paragraph" w:styleId="ListParagraph">
    <w:name w:val="List Paragraph"/>
    <w:basedOn w:val="Normal"/>
    <w:link w:val="ListParagraphChar"/>
    <w:uiPriority w:val="34"/>
    <w:rsid w:val="0068295E"/>
    <w:pPr>
      <w:ind w:left="720"/>
      <w:contextualSpacing/>
    </w:pPr>
    <w:rPr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8295E"/>
    <w:rPr>
      <w:sz w:val="22"/>
      <w:szCs w:val="22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GAfooter">
    <w:name w:val="CGAfooter"/>
    <w:basedOn w:val="Footer"/>
    <w:pPr>
      <w:tabs>
        <w:tab w:val="clear" w:pos="4320"/>
        <w:tab w:val="clear" w:pos="8640"/>
        <w:tab w:val="right" w:pos="7920"/>
      </w:tabs>
    </w:pPr>
    <w:rPr>
      <w:rFonts w:ascii="Swis721 Cn BT" w:hAnsi="Swis721 Cn BT"/>
      <w:color w:val="000000"/>
      <w:sz w:val="16"/>
    </w:rPr>
  </w:style>
  <w:style w:type="paragraph" w:customStyle="1" w:styleId="CGADocTitle">
    <w:name w:val="CGA Doc Title"/>
    <w:basedOn w:val="Normal"/>
    <w:rPr>
      <w:rFonts w:ascii="Myriad Pro" w:hAnsi="Myriad Pro"/>
      <w:b/>
      <w:sz w:val="36"/>
    </w:rPr>
  </w:style>
  <w:style w:type="paragraph" w:customStyle="1" w:styleId="CGAFieldData">
    <w:name w:val="CGA Field Data"/>
    <w:basedOn w:val="Normal"/>
    <w:rPr>
      <w:rFonts w:ascii="Arial" w:hAnsi="Arial"/>
      <w:b/>
      <w:sz w:val="20"/>
    </w:rPr>
  </w:style>
  <w:style w:type="paragraph" w:customStyle="1" w:styleId="CGAFieldTitle">
    <w:name w:val="CGA Field Title"/>
    <w:basedOn w:val="Normal"/>
    <w:rPr>
      <w:rFonts w:ascii="Myriad Pro" w:hAnsi="Myriad Pro"/>
      <w:sz w:val="18"/>
    </w:rPr>
  </w:style>
  <w:style w:type="paragraph" w:customStyle="1" w:styleId="CGAFooter0">
    <w:name w:val="CGA Footer"/>
    <w:basedOn w:val="Footer"/>
    <w:pPr>
      <w:tabs>
        <w:tab w:val="clear" w:pos="4320"/>
        <w:tab w:val="clear" w:pos="8640"/>
        <w:tab w:val="right" w:pos="8352"/>
      </w:tabs>
    </w:pPr>
    <w:rPr>
      <w:rFonts w:ascii="Myriad Pro" w:hAnsi="Myriad Pro"/>
      <w:color w:val="000000"/>
      <w:sz w:val="16"/>
    </w:rPr>
  </w:style>
  <w:style w:type="paragraph" w:styleId="ListParagraph">
    <w:name w:val="List Paragraph"/>
    <w:basedOn w:val="Normal"/>
    <w:link w:val="ListParagraphChar"/>
    <w:uiPriority w:val="34"/>
    <w:rsid w:val="0068295E"/>
    <w:pPr>
      <w:ind w:left="720"/>
      <w:contextualSpacing/>
    </w:pPr>
    <w:rPr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8295E"/>
    <w:rPr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officetemplates\Letterhead-pg2.wmf" TargetMode="External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officetemplates\Letterhead-pg2.wmf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c:\officetemplates\LetterHead-Minneapolis-pg1.wmf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mem20151218</vt:lpstr>
    </vt:vector>
  </TitlesOfParts>
  <Company>Cuningham Group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mem20151218</dc:title>
  <dc:creator>Cuningham Group Architecture, Inc.</dc:creator>
  <cp:lastModifiedBy>Reed Viken, Reanne (Aveda)</cp:lastModifiedBy>
  <cp:revision>2</cp:revision>
  <cp:lastPrinted>2001-06-14T19:10:00Z</cp:lastPrinted>
  <dcterms:created xsi:type="dcterms:W3CDTF">2016-02-08T14:21:00Z</dcterms:created>
  <dcterms:modified xsi:type="dcterms:W3CDTF">2016-02-08T14:21:00Z</dcterms:modified>
</cp:coreProperties>
</file>